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jc w:val="center"/>
        <w:rPr>
          <w:rFonts w:hint="default" w:ascii="Times New Roman" w:hAnsi="Times New Roman" w:eastAsia="仿宋" w:cs="Times New Roman"/>
          <w:strike w:val="0"/>
          <w:snapToGrid w:val="0"/>
          <w:color w:val="auto"/>
          <w:sz w:val="28"/>
          <w:szCs w:val="28"/>
          <w:highlight w:val="none"/>
          <w:lang w:val="en-US" w:eastAsia="zh-CN"/>
        </w:rPr>
      </w:pPr>
      <w:r>
        <w:rPr>
          <w:rFonts w:hint="eastAsia" w:ascii="Times New Roman" w:hAnsi="Times New Roman" w:eastAsia="仿宋" w:cs="Times New Roman"/>
          <w:strike w:val="0"/>
          <w:snapToGrid w:val="0"/>
          <w:color w:val="auto"/>
          <w:sz w:val="28"/>
          <w:szCs w:val="28"/>
          <w:highlight w:val="none"/>
          <w:lang w:val="en-US" w:eastAsia="zh-CN"/>
        </w:rPr>
        <w:t>RAMS的术语</w:t>
      </w:r>
    </w:p>
    <w:p>
      <w:pPr>
        <w:spacing w:line="360" w:lineRule="auto"/>
        <w:ind w:firstLine="560" w:firstLineChars="200"/>
        <w:jc w:val="center"/>
        <w:rPr>
          <w:rFonts w:hint="default" w:ascii="Times New Roman" w:hAnsi="Times New Roman" w:eastAsia="仿宋" w:cs="Times New Roman"/>
          <w:strike w:val="0"/>
          <w:snapToGrid w:val="0"/>
          <w:color w:val="auto"/>
          <w:sz w:val="28"/>
          <w:szCs w:val="28"/>
          <w:highlight w:val="none"/>
        </w:rPr>
      </w:pPr>
      <w:r>
        <w:rPr>
          <w:rFonts w:hint="default" w:ascii="Times New Roman" w:hAnsi="Times New Roman" w:eastAsia="仿宋" w:cs="Times New Roman"/>
          <w:strike w:val="0"/>
          <w:snapToGrid w:val="0"/>
          <w:color w:val="auto"/>
          <w:sz w:val="28"/>
          <w:szCs w:val="28"/>
          <w:highlight w:val="none"/>
        </w:rPr>
        <w:t>表1  相关的</w:t>
      </w:r>
      <w:r>
        <w:rPr>
          <w:rFonts w:hint="default" w:ascii="Times New Roman" w:hAnsi="Times New Roman" w:eastAsia="仿宋" w:cs="Times New Roman"/>
          <w:strike w:val="0"/>
          <w:snapToGrid w:val="0"/>
          <w:color w:val="auto"/>
          <w:sz w:val="28"/>
          <w:szCs w:val="28"/>
          <w:highlight w:val="none"/>
          <w:lang w:eastAsia="zh-CN"/>
        </w:rPr>
        <w:t>RAMS</w:t>
      </w:r>
      <w:r>
        <w:rPr>
          <w:rFonts w:hint="default" w:ascii="Times New Roman" w:hAnsi="Times New Roman" w:eastAsia="仿宋" w:cs="Times New Roman"/>
          <w:strike w:val="0"/>
          <w:snapToGrid w:val="0"/>
          <w:color w:val="auto"/>
          <w:sz w:val="28"/>
          <w:szCs w:val="28"/>
          <w:highlight w:val="none"/>
        </w:rPr>
        <w:t>标准</w:t>
      </w:r>
    </w:p>
    <w:tbl>
      <w:tblPr>
        <w:tblStyle w:val="4"/>
        <w:tblW w:w="86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7"/>
        <w:gridCol w:w="6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blHeader/>
          <w:jc w:val="center"/>
        </w:trPr>
        <w:tc>
          <w:tcPr>
            <w:tcW w:w="1947" w:type="dxa"/>
            <w:vAlign w:val="top"/>
          </w:tcPr>
          <w:p>
            <w:pPr>
              <w:pStyle w:val="6"/>
              <w:snapToGrid w:val="0"/>
              <w:spacing w:line="240" w:lineRule="auto"/>
              <w:ind w:left="0"/>
              <w:jc w:val="center"/>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kern w:val="2"/>
                <w:sz w:val="22"/>
                <w:szCs w:val="22"/>
                <w:highlight w:val="none"/>
                <w:lang w:eastAsia="zh-CN"/>
              </w:rPr>
              <w:t>标准参考号</w:t>
            </w:r>
          </w:p>
        </w:tc>
        <w:tc>
          <w:tcPr>
            <w:tcW w:w="6656" w:type="dxa"/>
            <w:vAlign w:val="top"/>
          </w:tcPr>
          <w:p>
            <w:pPr>
              <w:pStyle w:val="6"/>
              <w:snapToGrid w:val="0"/>
              <w:spacing w:line="240" w:lineRule="auto"/>
              <w:ind w:left="0"/>
              <w:jc w:val="center"/>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kern w:val="2"/>
                <w:sz w:val="22"/>
                <w:szCs w:val="22"/>
                <w:highlight w:val="none"/>
                <w:lang w:eastAsia="zh-CN"/>
              </w:rPr>
              <w:t>标题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47" w:type="dxa"/>
            <w:vAlign w:val="top"/>
          </w:tcPr>
          <w:p>
            <w:pPr>
              <w:spacing w:after="120"/>
              <w:jc w:val="center"/>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EN 50126:2017</w:t>
            </w:r>
          </w:p>
        </w:tc>
        <w:tc>
          <w:tcPr>
            <w:tcW w:w="6656" w:type="dxa"/>
            <w:vAlign w:val="top"/>
          </w:tcPr>
          <w:p>
            <w:pPr>
              <w:spacing w:after="120"/>
              <w:jc w:val="left"/>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铁路应用—可靠性、可用性、维修性和安全性技术规范和验证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47" w:type="dxa"/>
            <w:vAlign w:val="top"/>
          </w:tcPr>
          <w:p>
            <w:pPr>
              <w:spacing w:after="120"/>
              <w:jc w:val="center"/>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EN 50128:2011</w:t>
            </w:r>
          </w:p>
        </w:tc>
        <w:tc>
          <w:tcPr>
            <w:tcW w:w="6656" w:type="dxa"/>
            <w:vAlign w:val="top"/>
          </w:tcPr>
          <w:p>
            <w:pPr>
              <w:spacing w:after="120"/>
              <w:jc w:val="left"/>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fldChar w:fldCharType="begin"/>
            </w:r>
            <w:r>
              <w:rPr>
                <w:rFonts w:hint="default" w:ascii="Times New Roman" w:hAnsi="Times New Roman" w:eastAsia="仿宋" w:cs="Times New Roman"/>
                <w:strike w:val="0"/>
                <w:color w:val="auto"/>
                <w:kern w:val="2"/>
                <w:sz w:val="22"/>
                <w:szCs w:val="22"/>
                <w:highlight w:val="none"/>
                <w:lang w:val="en-US" w:eastAsia="zh-CN"/>
              </w:rPr>
              <w:instrText xml:space="preserve">HYPERLINK "http://www1.cccar.com.cn/bzxx9/affix_foreign_bzxx/25182/EN%2050128-2001%20.pdf" \t "_blank"</w:instrText>
            </w:r>
            <w:r>
              <w:rPr>
                <w:rFonts w:hint="default" w:ascii="Times New Roman" w:hAnsi="Times New Roman" w:eastAsia="仿宋" w:cs="Times New Roman"/>
                <w:strike w:val="0"/>
                <w:color w:val="auto"/>
                <w:kern w:val="2"/>
                <w:sz w:val="22"/>
                <w:szCs w:val="22"/>
                <w:highlight w:val="none"/>
                <w:lang w:val="en-US" w:eastAsia="zh-CN"/>
              </w:rPr>
              <w:fldChar w:fldCharType="separate"/>
            </w:r>
            <w:r>
              <w:rPr>
                <w:rFonts w:hint="default" w:ascii="Times New Roman" w:hAnsi="Times New Roman" w:eastAsia="仿宋" w:cs="Times New Roman"/>
                <w:strike w:val="0"/>
                <w:color w:val="auto"/>
                <w:kern w:val="2"/>
                <w:sz w:val="22"/>
                <w:szCs w:val="22"/>
                <w:highlight w:val="none"/>
                <w:lang w:val="en-US" w:eastAsia="zh-CN"/>
              </w:rPr>
              <w:t>铁路设施.通信、信号和处理系统.铁路控制和防护系统用软件</w:t>
            </w:r>
            <w:r>
              <w:rPr>
                <w:rFonts w:hint="default" w:ascii="Times New Roman" w:hAnsi="Times New Roman" w:eastAsia="仿宋" w:cs="Times New Roman"/>
                <w:strike w:val="0"/>
                <w:color w:val="auto"/>
                <w:kern w:val="2"/>
                <w:sz w:val="22"/>
                <w:szCs w:val="22"/>
                <w:highlight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947" w:type="dxa"/>
            <w:vAlign w:val="top"/>
          </w:tcPr>
          <w:p>
            <w:pPr>
              <w:spacing w:after="120"/>
              <w:jc w:val="center"/>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EN 50129:2018</w:t>
            </w:r>
          </w:p>
        </w:tc>
        <w:tc>
          <w:tcPr>
            <w:tcW w:w="6656" w:type="dxa"/>
            <w:vAlign w:val="top"/>
          </w:tcPr>
          <w:p>
            <w:pPr>
              <w:spacing w:after="120"/>
              <w:jc w:val="left"/>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铁路应用—通信、信号和处理系统—信号的安全相关电子处理系统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947" w:type="dxa"/>
            <w:vAlign w:val="top"/>
          </w:tcPr>
          <w:p>
            <w:pPr>
              <w:spacing w:after="120"/>
              <w:jc w:val="center"/>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Cs w:val="22"/>
                <w:highlight w:val="none"/>
                <w:lang w:val="en-US" w:eastAsia="zh-CN"/>
              </w:rPr>
              <w:t>GB/T 21562-2008</w:t>
            </w:r>
          </w:p>
        </w:tc>
        <w:tc>
          <w:tcPr>
            <w:tcW w:w="6656" w:type="dxa"/>
            <w:vAlign w:val="top"/>
          </w:tcPr>
          <w:p>
            <w:pPr>
              <w:spacing w:after="120"/>
              <w:jc w:val="left"/>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Cs w:val="22"/>
                <w:highlight w:val="none"/>
                <w:lang w:val="en-US" w:eastAsia="zh-CN"/>
              </w:rPr>
              <w:t>轨道交通可靠性、可用性、可维修性和安全性规范及示例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47" w:type="dxa"/>
            <w:vAlign w:val="top"/>
          </w:tcPr>
          <w:p>
            <w:pPr>
              <w:spacing w:after="120"/>
              <w:jc w:val="center"/>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IEC 61078:2006</w:t>
            </w:r>
          </w:p>
        </w:tc>
        <w:tc>
          <w:tcPr>
            <w:tcW w:w="6656" w:type="dxa"/>
            <w:vAlign w:val="top"/>
          </w:tcPr>
          <w:p>
            <w:pPr>
              <w:spacing w:after="120"/>
              <w:jc w:val="left"/>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fldChar w:fldCharType="begin"/>
            </w:r>
            <w:r>
              <w:rPr>
                <w:rFonts w:hint="default" w:ascii="Times New Roman" w:hAnsi="Times New Roman" w:eastAsia="仿宋" w:cs="Times New Roman"/>
                <w:strike w:val="0"/>
                <w:color w:val="auto"/>
                <w:kern w:val="2"/>
                <w:sz w:val="22"/>
                <w:szCs w:val="22"/>
                <w:highlight w:val="none"/>
                <w:lang w:val="en-US" w:eastAsia="zh-CN"/>
              </w:rPr>
              <w:instrText xml:space="preserve">HYPERLINK "http://www1.cccar.com.cn/bzxx9/affix_foreign_bzxx/3055/IEC%2061078-2006(e).PDF" \t "_blank"</w:instrText>
            </w:r>
            <w:r>
              <w:rPr>
                <w:rFonts w:hint="default" w:ascii="Times New Roman" w:hAnsi="Times New Roman" w:eastAsia="仿宋" w:cs="Times New Roman"/>
                <w:strike w:val="0"/>
                <w:color w:val="auto"/>
                <w:kern w:val="2"/>
                <w:sz w:val="22"/>
                <w:szCs w:val="22"/>
                <w:highlight w:val="none"/>
                <w:lang w:val="en-US" w:eastAsia="zh-CN"/>
              </w:rPr>
              <w:fldChar w:fldCharType="separate"/>
            </w:r>
            <w:r>
              <w:rPr>
                <w:rFonts w:hint="default" w:ascii="Times New Roman" w:hAnsi="Times New Roman" w:eastAsia="仿宋" w:cs="Times New Roman"/>
                <w:strike w:val="0"/>
                <w:color w:val="auto"/>
                <w:kern w:val="2"/>
                <w:sz w:val="22"/>
                <w:szCs w:val="22"/>
                <w:highlight w:val="none"/>
                <w:lang w:val="en-US" w:eastAsia="zh-CN"/>
              </w:rPr>
              <w:t>可靠性分析技术.可靠性方框图法</w:t>
            </w:r>
            <w:r>
              <w:rPr>
                <w:rFonts w:hint="default" w:ascii="Times New Roman" w:hAnsi="Times New Roman" w:eastAsia="仿宋" w:cs="Times New Roman"/>
                <w:strike w:val="0"/>
                <w:color w:val="auto"/>
                <w:kern w:val="2"/>
                <w:sz w:val="22"/>
                <w:szCs w:val="22"/>
                <w:highlight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47" w:type="dxa"/>
            <w:vAlign w:val="top"/>
          </w:tcPr>
          <w:p>
            <w:pPr>
              <w:spacing w:after="120"/>
              <w:jc w:val="center"/>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IEC 61025 2006</w:t>
            </w:r>
          </w:p>
        </w:tc>
        <w:tc>
          <w:tcPr>
            <w:tcW w:w="6656" w:type="dxa"/>
            <w:vAlign w:val="top"/>
          </w:tcPr>
          <w:p>
            <w:pPr>
              <w:spacing w:after="120"/>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故障树型分析法（FTA）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47" w:type="dxa"/>
            <w:vAlign w:val="top"/>
          </w:tcPr>
          <w:p>
            <w:pPr>
              <w:spacing w:after="120"/>
              <w:jc w:val="center"/>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IEC 60812:2018</w:t>
            </w:r>
          </w:p>
        </w:tc>
        <w:tc>
          <w:tcPr>
            <w:tcW w:w="6656" w:type="dxa"/>
            <w:vAlign w:val="top"/>
          </w:tcPr>
          <w:p>
            <w:pPr>
              <w:spacing w:after="120"/>
              <w:jc w:val="left"/>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系统可靠性分析技术-故障模式与故障模式与效果分析程序（FMEA）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7" w:type="dxa"/>
            <w:vAlign w:val="top"/>
          </w:tcPr>
          <w:p>
            <w:pPr>
              <w:jc w:val="center"/>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IEC 61508-2010</w:t>
            </w:r>
          </w:p>
        </w:tc>
        <w:tc>
          <w:tcPr>
            <w:tcW w:w="6656" w:type="dxa"/>
            <w:vAlign w:val="top"/>
          </w:tcPr>
          <w:p>
            <w:pPr>
              <w:jc w:val="left"/>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电气/电子/可编程电子安全系统的功能安全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47" w:type="dxa"/>
            <w:vAlign w:val="top"/>
          </w:tcPr>
          <w:p>
            <w:pPr>
              <w:spacing w:after="120"/>
              <w:jc w:val="center"/>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IEC 62267-2009</w:t>
            </w:r>
          </w:p>
        </w:tc>
        <w:tc>
          <w:tcPr>
            <w:tcW w:w="6656" w:type="dxa"/>
            <w:vAlign w:val="top"/>
          </w:tcPr>
          <w:p>
            <w:pPr>
              <w:spacing w:after="120"/>
              <w:jc w:val="left"/>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铁路设施 都市自动化有轨运输(AUGT)安全要求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47" w:type="dxa"/>
            <w:vAlign w:val="top"/>
          </w:tcPr>
          <w:p>
            <w:pPr>
              <w:spacing w:after="120"/>
              <w:jc w:val="center"/>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IEC 62290-1-2014</w:t>
            </w:r>
          </w:p>
        </w:tc>
        <w:tc>
          <w:tcPr>
            <w:tcW w:w="6656" w:type="dxa"/>
            <w:vAlign w:val="top"/>
          </w:tcPr>
          <w:p>
            <w:pPr>
              <w:spacing w:after="120"/>
              <w:jc w:val="left"/>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铁路应用-城市轨道交通管理和指令/控制系统-第1部分：系统原理和基本概念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47" w:type="dxa"/>
            <w:vAlign w:val="top"/>
          </w:tcPr>
          <w:p>
            <w:pPr>
              <w:spacing w:after="120"/>
              <w:jc w:val="center"/>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IEC 62290-2-2014</w:t>
            </w:r>
          </w:p>
        </w:tc>
        <w:tc>
          <w:tcPr>
            <w:tcW w:w="6656" w:type="dxa"/>
            <w:vAlign w:val="top"/>
          </w:tcPr>
          <w:p>
            <w:pPr>
              <w:spacing w:after="120"/>
              <w:jc w:val="left"/>
              <w:rPr>
                <w:rFonts w:hint="default" w:ascii="Times New Roman" w:hAnsi="Times New Roman" w:eastAsia="仿宋" w:cs="Times New Roman"/>
                <w:strike w:val="0"/>
                <w:color w:val="auto"/>
                <w:kern w:val="2"/>
                <w:sz w:val="22"/>
                <w:szCs w:val="22"/>
                <w:highlight w:val="none"/>
                <w:lang w:val="en-US" w:eastAsia="zh-CN"/>
              </w:rPr>
            </w:pPr>
            <w:r>
              <w:rPr>
                <w:rFonts w:hint="default" w:ascii="Times New Roman" w:hAnsi="Times New Roman" w:eastAsia="仿宋" w:cs="Times New Roman"/>
                <w:strike w:val="0"/>
                <w:color w:val="auto"/>
                <w:kern w:val="2"/>
                <w:sz w:val="22"/>
                <w:szCs w:val="22"/>
                <w:highlight w:val="none"/>
                <w:lang w:val="en-US" w:eastAsia="zh-CN"/>
              </w:rPr>
              <w:t>铁路应用-城市轨道交通管理和指令/控制系统-第2部分：功能要求规范</w:t>
            </w:r>
          </w:p>
        </w:tc>
      </w:tr>
    </w:tbl>
    <w:p>
      <w:pPr>
        <w:rPr>
          <w:rFonts w:hint="default"/>
          <w:color w:val="auto"/>
          <w:highlight w:val="none"/>
        </w:rPr>
      </w:pPr>
      <w:bookmarkStart w:id="0" w:name="_Toc3723"/>
      <w:bookmarkStart w:id="1" w:name="_Toc477883109"/>
      <w:bookmarkStart w:id="2" w:name="_Toc8380"/>
      <w:bookmarkStart w:id="3" w:name="_Toc27513"/>
      <w:bookmarkStart w:id="4" w:name="_Toc30377"/>
      <w:bookmarkStart w:id="5" w:name="_Toc17930"/>
      <w:bookmarkStart w:id="6" w:name="_Toc11322"/>
      <w:bookmarkStart w:id="7" w:name="_Toc29759"/>
      <w:bookmarkStart w:id="8" w:name="_Toc22256"/>
      <w:bookmarkStart w:id="9" w:name="_Toc16349"/>
      <w:bookmarkStart w:id="10" w:name="_Toc28666"/>
      <w:bookmarkStart w:id="11" w:name="_Toc30736"/>
      <w:bookmarkStart w:id="12" w:name="_Toc17497"/>
      <w:bookmarkStart w:id="13" w:name="_Toc31244"/>
      <w:bookmarkStart w:id="14" w:name="_Toc8190"/>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before="0" w:beforeLines="0" w:afterLines="0" w:line="360" w:lineRule="auto"/>
        <w:ind w:firstLine="560" w:firstLineChars="200"/>
        <w:jc w:val="center"/>
        <w:rPr>
          <w:rFonts w:hint="default" w:ascii="Times New Roman" w:hAnsi="Times New Roman" w:eastAsia="仿宋" w:cs="Times New Roman"/>
          <w:strike w:val="0"/>
          <w:snapToGrid w:val="0"/>
          <w:color w:val="auto"/>
          <w:sz w:val="28"/>
          <w:szCs w:val="28"/>
          <w:highlight w:val="none"/>
        </w:rPr>
      </w:pPr>
      <w:r>
        <w:rPr>
          <w:rFonts w:hint="default" w:ascii="Times New Roman" w:hAnsi="Times New Roman" w:eastAsia="仿宋" w:cs="Times New Roman"/>
          <w:strike w:val="0"/>
          <w:snapToGrid w:val="0"/>
          <w:color w:val="auto"/>
          <w:sz w:val="28"/>
          <w:szCs w:val="28"/>
          <w:highlight w:val="none"/>
        </w:rPr>
        <w:t xml:space="preserve">表2 </w:t>
      </w:r>
      <w:r>
        <w:rPr>
          <w:rFonts w:hint="default" w:ascii="Times New Roman" w:hAnsi="Times New Roman" w:eastAsia="仿宋" w:cs="Times New Roman"/>
          <w:strike w:val="0"/>
          <w:snapToGrid w:val="0"/>
          <w:color w:val="auto"/>
          <w:sz w:val="28"/>
          <w:szCs w:val="28"/>
          <w:highlight w:val="none"/>
          <w:lang w:val="en-US" w:eastAsia="zh-CN"/>
        </w:rPr>
        <w:t xml:space="preserve"> </w:t>
      </w:r>
      <w:r>
        <w:rPr>
          <w:rFonts w:hint="default" w:ascii="Times New Roman" w:hAnsi="Times New Roman" w:eastAsia="仿宋" w:cs="Times New Roman"/>
          <w:strike w:val="0"/>
          <w:snapToGrid w:val="0"/>
          <w:color w:val="auto"/>
          <w:sz w:val="28"/>
          <w:szCs w:val="28"/>
          <w:highlight w:val="none"/>
        </w:rPr>
        <w:t>术语与缩写</w:t>
      </w:r>
    </w:p>
    <w:tbl>
      <w:tblPr>
        <w:tblStyle w:val="4"/>
        <w:tblW w:w="8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1"/>
        <w:gridCol w:w="5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jc w:val="center"/>
        </w:trPr>
        <w:tc>
          <w:tcPr>
            <w:tcW w:w="2851" w:type="dxa"/>
            <w:vAlign w:val="top"/>
          </w:tcPr>
          <w:p>
            <w:pPr>
              <w:pStyle w:val="6"/>
              <w:snapToGrid w:val="0"/>
              <w:spacing w:line="240" w:lineRule="auto"/>
              <w:ind w:left="0"/>
              <w:jc w:val="center"/>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kern w:val="2"/>
                <w:sz w:val="22"/>
                <w:szCs w:val="22"/>
                <w:highlight w:val="none"/>
                <w:lang w:eastAsia="zh-CN"/>
              </w:rPr>
              <w:t>术语</w:t>
            </w:r>
          </w:p>
        </w:tc>
        <w:tc>
          <w:tcPr>
            <w:tcW w:w="5712" w:type="dxa"/>
            <w:vAlign w:val="top"/>
          </w:tcPr>
          <w:p>
            <w:pPr>
              <w:pStyle w:val="6"/>
              <w:snapToGrid w:val="0"/>
              <w:spacing w:line="240" w:lineRule="auto"/>
              <w:ind w:left="0"/>
              <w:jc w:val="center"/>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kern w:val="2"/>
                <w:sz w:val="22"/>
                <w:szCs w:val="22"/>
                <w:highlight w:val="none"/>
                <w:lang w:eastAsia="zh-CN"/>
              </w:rPr>
              <w:t>缩写/定义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RAMS（Reliability, Availability, Maintainability and Safety）</w:t>
            </w:r>
          </w:p>
        </w:tc>
        <w:tc>
          <w:tcPr>
            <w:tcW w:w="5712" w:type="dxa"/>
            <w:vAlign w:val="center"/>
          </w:tcPr>
          <w:p>
            <w:pPr>
              <w:pStyle w:val="8"/>
              <w:spacing w:before="0" w:beforeLines="0" w:after="0" w:afterLines="0" w:line="360" w:lineRule="auto"/>
              <w:ind w:left="0" w:leftChars="0"/>
              <w:jc w:val="both"/>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可靠性、可用性、维修性及安全性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2851" w:type="dxa"/>
            <w:vAlign w:val="center"/>
          </w:tcPr>
          <w:p>
            <w:pPr>
              <w:topLinePunct w:val="0"/>
              <w:spacing w:before="0" w:beforeLines="0" w:after="0" w:afterLines="0" w:line="360" w:lineRule="auto"/>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bCs/>
                <w:strike w:val="0"/>
                <w:color w:val="auto"/>
                <w:sz w:val="22"/>
                <w:szCs w:val="22"/>
                <w:highlight w:val="none"/>
              </w:rPr>
              <w:t>可靠性</w:t>
            </w:r>
          </w:p>
        </w:tc>
        <w:tc>
          <w:tcPr>
            <w:tcW w:w="5712" w:type="dxa"/>
            <w:vAlign w:val="center"/>
          </w:tcPr>
          <w:p>
            <w:pPr>
              <w:pStyle w:val="8"/>
              <w:spacing w:before="0" w:beforeLines="0" w:after="0" w:afterLines="0" w:line="360" w:lineRule="auto"/>
              <w:ind w:left="72" w:leftChars="0" w:right="35" w:rightChars="16"/>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产品在规定条件下和规定时间内，完成规定功能的能力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RBD(Reliability Block Diagram)</w:t>
            </w:r>
          </w:p>
        </w:tc>
        <w:tc>
          <w:tcPr>
            <w:tcW w:w="5712" w:type="dxa"/>
            <w:vAlign w:val="top"/>
          </w:tcPr>
          <w:p>
            <w:pPr>
              <w:pStyle w:val="8"/>
              <w:spacing w:before="0" w:beforeLines="0" w:after="0" w:afterLines="0" w:line="360" w:lineRule="auto"/>
              <w:ind w:left="0"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可靠性框图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FMECA(Failure Modes, Effects and Criticality Analysis)</w:t>
            </w:r>
          </w:p>
        </w:tc>
        <w:tc>
          <w:tcPr>
            <w:tcW w:w="5712" w:type="dxa"/>
            <w:vAlign w:val="top"/>
          </w:tcPr>
          <w:p>
            <w:pPr>
              <w:pStyle w:val="8"/>
              <w:spacing w:before="0" w:beforeLines="0" w:after="0" w:afterLines="0" w:line="360" w:lineRule="auto"/>
              <w:ind w:left="0"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故障模式、影响及危害性分析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pStyle w:val="8"/>
              <w:spacing w:before="0" w:beforeLines="0" w:after="0" w:afterLines="0" w:line="360" w:lineRule="auto"/>
              <w:ind w:left="0" w:leftChars="0" w:right="35" w:rightChars="16"/>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可维修性</w:t>
            </w:r>
          </w:p>
        </w:tc>
        <w:tc>
          <w:tcPr>
            <w:tcW w:w="5712" w:type="dxa"/>
            <w:vAlign w:val="center"/>
          </w:tcPr>
          <w:p>
            <w:pPr>
              <w:pStyle w:val="8"/>
              <w:spacing w:before="0" w:beforeLines="0" w:after="0" w:afterLines="0" w:line="360" w:lineRule="auto"/>
              <w:ind w:left="72" w:leftChars="0" w:right="35" w:rightChars="16"/>
              <w:jc w:val="both"/>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在规定条件下使用的产品在规定时间内，按规定的程序和方法进行维修时，保持或恢复到能完成规定功能的能力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pStyle w:val="8"/>
              <w:spacing w:before="0" w:beforeLines="0" w:after="0" w:afterLines="0" w:line="360" w:lineRule="auto"/>
              <w:ind w:left="0" w:leftChars="0" w:right="35" w:rightChars="16"/>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LRU（Line Replace</w:t>
            </w:r>
            <w:r>
              <w:rPr>
                <w:rFonts w:hint="default" w:ascii="Times New Roman" w:hAnsi="Times New Roman" w:eastAsia="仿宋" w:cs="Times New Roman"/>
                <w:strike w:val="0"/>
                <w:color w:val="auto"/>
                <w:sz w:val="22"/>
                <w:szCs w:val="22"/>
                <w:highlight w:val="none"/>
                <w:lang w:val="en-US" w:eastAsia="zh-CN"/>
              </w:rPr>
              <w:t>able</w:t>
            </w:r>
            <w:r>
              <w:rPr>
                <w:rFonts w:hint="default" w:ascii="Times New Roman" w:hAnsi="Times New Roman" w:eastAsia="仿宋" w:cs="Times New Roman"/>
                <w:strike w:val="0"/>
                <w:color w:val="auto"/>
                <w:sz w:val="22"/>
                <w:szCs w:val="22"/>
                <w:highlight w:val="none"/>
                <w:lang w:eastAsia="zh-CN"/>
              </w:rPr>
              <w:t xml:space="preserve"> Unit）</w:t>
            </w:r>
          </w:p>
        </w:tc>
        <w:tc>
          <w:tcPr>
            <w:tcW w:w="5712" w:type="dxa"/>
            <w:vAlign w:val="center"/>
          </w:tcPr>
          <w:p>
            <w:pPr>
              <w:pStyle w:val="8"/>
              <w:spacing w:before="0" w:beforeLines="0" w:after="0" w:afterLines="0" w:line="360" w:lineRule="auto"/>
              <w:ind w:left="0" w:leftChars="0" w:right="35" w:rightChars="16"/>
              <w:jc w:val="both"/>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在线修可更换单元：是指可由一个维修人员直接从列车上拆卸并更换的可修或耗损单元,其重量不超过15公斤(如接触器,缓冲器等)。除该单元本身的安装部件和/或特别设计的盖板外，其维修过程不须拆卸其它任何单元。一个LRU可以是一个最小可更换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pStyle w:val="8"/>
              <w:spacing w:before="0" w:beforeLines="0" w:after="0" w:afterLines="0" w:line="360" w:lineRule="auto"/>
              <w:ind w:left="72"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MRU</w:t>
            </w:r>
          </w:p>
        </w:tc>
        <w:tc>
          <w:tcPr>
            <w:tcW w:w="5712" w:type="dxa"/>
            <w:vAlign w:val="center"/>
          </w:tcPr>
          <w:p>
            <w:pPr>
              <w:pStyle w:val="8"/>
              <w:spacing w:before="0" w:beforeLines="0" w:after="0" w:afterLines="0" w:line="360" w:lineRule="auto"/>
              <w:ind w:left="72"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主更换单元：特征与LRU相同，是指大型单元，其单元重量超过15公斤（如车下设备箱，转向架），其更换或恢复工作要求一人以上进行，并要求采用提升设备。一个MRU可包含多个LRU和SRU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72"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SDU</w:t>
            </w:r>
          </w:p>
        </w:tc>
        <w:tc>
          <w:tcPr>
            <w:tcW w:w="5712" w:type="dxa"/>
            <w:vAlign w:val="center"/>
          </w:tcPr>
          <w:p>
            <w:pPr>
              <w:pStyle w:val="8"/>
              <w:spacing w:before="0" w:beforeLines="0" w:after="0" w:afterLines="0" w:line="360" w:lineRule="auto"/>
              <w:ind w:left="72"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最小可诊断单元：是指可通过列车诊断系统诊断其功能和/或记录故障数据的最小单元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72"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SRU</w:t>
            </w:r>
          </w:p>
        </w:tc>
        <w:tc>
          <w:tcPr>
            <w:tcW w:w="5712" w:type="dxa"/>
            <w:vAlign w:val="center"/>
          </w:tcPr>
          <w:p>
            <w:pPr>
              <w:pStyle w:val="8"/>
              <w:tabs>
                <w:tab w:val="left" w:pos="1418"/>
              </w:tabs>
              <w:spacing w:before="0" w:beforeLines="0" w:after="0" w:afterLines="0" w:line="360" w:lineRule="auto"/>
              <w:ind w:left="72" w:leftChars="0"/>
              <w:jc w:val="both"/>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二级可更换单元：是指在拆卸其它单元或一个LRU或MRU后拆卸并更换的可修或耗损单元(如牵引电机轴，车门驱动电机等)。一个SRU可以是一个最小可更换单元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72"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最小可更换单元</w:t>
            </w:r>
          </w:p>
        </w:tc>
        <w:tc>
          <w:tcPr>
            <w:tcW w:w="5712" w:type="dxa"/>
            <w:vAlign w:val="center"/>
          </w:tcPr>
          <w:p>
            <w:pPr>
              <w:pStyle w:val="8"/>
              <w:spacing w:before="0" w:beforeLines="0" w:after="0" w:afterLines="0" w:line="360" w:lineRule="auto"/>
              <w:ind w:left="72"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最小可更换单元是指在车辆段检修区域不能拆卸或不能维修的一个部件或系统的一个单元，如印刷电路板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left"/>
              <w:textAlignment w:val="auto"/>
              <w:outlineLvl w:val="9"/>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rPr>
              <w:t>Hazard</w:t>
            </w:r>
            <w:r>
              <w:rPr>
                <w:rFonts w:hint="default" w:ascii="Times New Roman" w:hAnsi="Times New Roman" w:eastAsia="仿宋" w:cs="Times New Roman"/>
                <w:strike w:val="0"/>
                <w:color w:val="auto"/>
                <w:sz w:val="22"/>
                <w:szCs w:val="22"/>
                <w:highlight w:val="none"/>
                <w:lang w:eastAsia="zh-CN"/>
              </w:rPr>
              <w:t>（危害）</w:t>
            </w:r>
          </w:p>
        </w:tc>
        <w:tc>
          <w:tcPr>
            <w:tcW w:w="5712"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可能导致出现事故的情况和状态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72"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Risk（风险）</w:t>
            </w:r>
          </w:p>
        </w:tc>
        <w:tc>
          <w:tcPr>
            <w:tcW w:w="5712" w:type="dxa"/>
            <w:vAlign w:val="center"/>
          </w:tcPr>
          <w:p>
            <w:pPr>
              <w:pStyle w:val="8"/>
              <w:spacing w:before="0" w:beforeLines="0" w:after="0" w:afterLines="0" w:line="360" w:lineRule="auto"/>
              <w:rPr>
                <w:rFonts w:hint="default" w:ascii="Times New Roman" w:hAnsi="Times New Roman" w:eastAsia="仿宋" w:cs="Times New Roman"/>
                <w:strike w:val="0"/>
                <w:color w:val="auto"/>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由危害而导致的事故与事件的发生率（由一项危害而引起）以及上述危害的严重程度。它可以通过以下数学方法表示：</w:t>
            </w:r>
          </w:p>
          <w:p>
            <w:pPr>
              <w:pStyle w:val="8"/>
              <w:spacing w:before="0" w:beforeLines="0" w:after="0" w:afterLines="0" w:line="360" w:lineRule="auto"/>
              <w:ind w:left="72"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风险=（事故）发生率×（危害）严重程度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6"/>
              <w:snapToGrid w:val="0"/>
              <w:spacing w:beforeLines="0" w:afterLines="0" w:line="360" w:lineRule="auto"/>
              <w:ind w:left="0" w:leftChars="0"/>
              <w:jc w:val="left"/>
              <w:rPr>
                <w:rFonts w:hint="default" w:ascii="Times New Roman" w:hAnsi="Times New Roman" w:eastAsia="仿宋" w:cs="Times New Roman"/>
                <w:strike w:val="0"/>
                <w:color w:val="auto"/>
                <w:sz w:val="22"/>
                <w:szCs w:val="22"/>
                <w:highlight w:val="none"/>
                <w:lang w:eastAsia="zh-CN"/>
              </w:rPr>
            </w:pPr>
            <w:r>
              <w:rPr>
                <w:rFonts w:hint="default" w:ascii="Times New Roman" w:hAnsi="Times New Roman" w:eastAsia="仿宋" w:cs="Times New Roman"/>
                <w:strike w:val="0"/>
                <w:color w:val="auto"/>
                <w:kern w:val="2"/>
                <w:sz w:val="22"/>
                <w:szCs w:val="22"/>
                <w:highlight w:val="none"/>
                <w:lang w:eastAsia="zh-CN"/>
              </w:rPr>
              <w:t>ALARP</w:t>
            </w:r>
          </w:p>
        </w:tc>
        <w:tc>
          <w:tcPr>
            <w:tcW w:w="5712" w:type="dxa"/>
            <w:vAlign w:val="center"/>
          </w:tcPr>
          <w:p>
            <w:pPr>
              <w:pStyle w:val="6"/>
              <w:snapToGrid w:val="0"/>
              <w:spacing w:beforeLines="0" w:afterLines="0" w:line="360" w:lineRule="auto"/>
              <w:ind w:left="0" w:leftChars="0"/>
              <w:jc w:val="both"/>
              <w:rPr>
                <w:rFonts w:hint="default" w:ascii="Times New Roman" w:hAnsi="Times New Roman" w:eastAsia="仿宋" w:cs="Times New Roman"/>
                <w:strike w:val="0"/>
                <w:color w:val="auto"/>
                <w:sz w:val="22"/>
                <w:szCs w:val="22"/>
                <w:highlight w:val="none"/>
                <w:lang w:eastAsia="zh-CN"/>
              </w:rPr>
            </w:pPr>
            <w:r>
              <w:rPr>
                <w:rFonts w:hint="default" w:ascii="Times New Roman" w:hAnsi="Times New Roman" w:eastAsia="仿宋" w:cs="Times New Roman"/>
                <w:strike w:val="0"/>
                <w:color w:val="auto"/>
                <w:kern w:val="2"/>
                <w:sz w:val="22"/>
                <w:szCs w:val="22"/>
                <w:highlight w:val="none"/>
                <w:lang w:eastAsia="zh-CN"/>
              </w:rPr>
              <w:t>降低到合理可行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PHA</w:t>
            </w:r>
            <w:r>
              <w:rPr>
                <w:rFonts w:hint="default" w:ascii="Times New Roman" w:hAnsi="Times New Roman" w:eastAsia="仿宋" w:cs="Times New Roman"/>
                <w:strike w:val="0"/>
                <w:color w:val="auto"/>
                <w:sz w:val="22"/>
                <w:szCs w:val="22"/>
                <w:highlight w:val="none"/>
                <w:lang w:val="en-US" w:eastAsia="zh-CN"/>
              </w:rPr>
              <w:t>(</w:t>
            </w:r>
            <w:r>
              <w:rPr>
                <w:rFonts w:hint="default" w:ascii="Times New Roman" w:hAnsi="Times New Roman" w:eastAsia="仿宋" w:cs="Times New Roman"/>
                <w:strike w:val="0"/>
                <w:color w:val="auto"/>
                <w:sz w:val="22"/>
                <w:szCs w:val="22"/>
                <w:highlight w:val="none"/>
                <w:lang w:eastAsia="zh-CN"/>
              </w:rPr>
              <w:t>Preliminary Hazard Analysis</w:t>
            </w:r>
            <w:r>
              <w:rPr>
                <w:rFonts w:hint="default" w:ascii="Times New Roman" w:hAnsi="Times New Roman" w:eastAsia="仿宋" w:cs="Times New Roman"/>
                <w:strike w:val="0"/>
                <w:color w:val="auto"/>
                <w:sz w:val="22"/>
                <w:szCs w:val="22"/>
                <w:highlight w:val="none"/>
                <w:lang w:val="en-US" w:eastAsia="zh-CN"/>
              </w:rPr>
              <w:t>)</w:t>
            </w:r>
          </w:p>
        </w:tc>
        <w:tc>
          <w:tcPr>
            <w:tcW w:w="5712" w:type="dxa"/>
            <w:vAlign w:val="center"/>
          </w:tcPr>
          <w:p>
            <w:pPr>
              <w:pStyle w:val="8"/>
              <w:spacing w:before="0" w:beforeLines="0" w:after="0" w:afterLines="0" w:line="360" w:lineRule="auto"/>
              <w:ind w:left="72" w:leftChars="0" w:right="35" w:rightChars="16"/>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初步危险分析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SHA（System Hazard Analysis）</w:t>
            </w:r>
          </w:p>
        </w:tc>
        <w:tc>
          <w:tcPr>
            <w:tcW w:w="5712" w:type="dxa"/>
            <w:vAlign w:val="center"/>
          </w:tcPr>
          <w:p>
            <w:pPr>
              <w:pStyle w:val="8"/>
              <w:spacing w:before="0" w:beforeLines="0" w:after="0" w:afterLines="0" w:line="360" w:lineRule="auto"/>
              <w:ind w:left="0" w:leftChars="0" w:right="35" w:rightChars="16"/>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系统危险分析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left"/>
              <w:textAlignment w:val="auto"/>
              <w:outlineLvl w:val="9"/>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rPr>
              <w:t>IHA(</w:t>
            </w:r>
            <w:r>
              <w:rPr>
                <w:rFonts w:hint="default" w:ascii="Times New Roman" w:hAnsi="Times New Roman" w:eastAsia="仿宋" w:cs="Times New Roman"/>
                <w:strike w:val="0"/>
                <w:color w:val="auto"/>
                <w:sz w:val="22"/>
                <w:szCs w:val="22"/>
                <w:highlight w:val="none"/>
                <w:lang w:val="en-US" w:eastAsia="zh-CN"/>
              </w:rPr>
              <w:t>Iterface</w:t>
            </w:r>
            <w:r>
              <w:rPr>
                <w:rFonts w:hint="default" w:ascii="Times New Roman" w:hAnsi="Times New Roman" w:eastAsia="仿宋" w:cs="Times New Roman"/>
                <w:strike w:val="0"/>
                <w:color w:val="auto"/>
                <w:sz w:val="22"/>
                <w:szCs w:val="22"/>
                <w:highlight w:val="none"/>
              </w:rPr>
              <w:t xml:space="preserve"> Hazard Analysis)</w:t>
            </w:r>
          </w:p>
        </w:tc>
        <w:tc>
          <w:tcPr>
            <w:tcW w:w="5712"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接口危害分析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left"/>
              <w:textAlignment w:val="auto"/>
              <w:outlineLvl w:val="9"/>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rPr>
              <w:t>O</w:t>
            </w:r>
            <w:r>
              <w:rPr>
                <w:rFonts w:hint="default" w:ascii="Times New Roman" w:hAnsi="Times New Roman" w:eastAsia="仿宋" w:cs="Times New Roman"/>
                <w:strike w:val="0"/>
                <w:color w:val="auto"/>
                <w:sz w:val="22"/>
                <w:szCs w:val="22"/>
                <w:highlight w:val="none"/>
                <w:lang w:val="en-US" w:eastAsia="zh-CN"/>
              </w:rPr>
              <w:t>&amp;</w:t>
            </w:r>
            <w:r>
              <w:rPr>
                <w:rFonts w:hint="default" w:ascii="Times New Roman" w:hAnsi="Times New Roman" w:eastAsia="仿宋" w:cs="Times New Roman"/>
                <w:strike w:val="0"/>
                <w:color w:val="auto"/>
                <w:sz w:val="22"/>
                <w:szCs w:val="22"/>
                <w:highlight w:val="none"/>
              </w:rPr>
              <w:t>SHA(Operation and Support Hazard Analysis)</w:t>
            </w:r>
          </w:p>
        </w:tc>
        <w:tc>
          <w:tcPr>
            <w:tcW w:w="5712"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dstrike w:val="0"/>
                <w:color w:val="auto"/>
                <w:sz w:val="22"/>
                <w:szCs w:val="22"/>
                <w:highlight w:val="none"/>
                <w:lang w:val="zh-CN" w:eastAsia="zh-CN"/>
              </w:rPr>
              <w:t>运行与维护危害分析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SIL</w:t>
            </w:r>
            <w:r>
              <w:rPr>
                <w:rFonts w:hint="default" w:ascii="Times New Roman" w:hAnsi="Times New Roman" w:eastAsia="仿宋" w:cs="Times New Roman"/>
                <w:strike w:val="0"/>
                <w:color w:val="auto"/>
                <w:sz w:val="22"/>
                <w:szCs w:val="22"/>
                <w:highlight w:val="none"/>
                <w:lang w:val="en-US" w:eastAsia="zh-CN"/>
              </w:rPr>
              <w:t>（Safety Intergrity Level）</w:t>
            </w:r>
          </w:p>
        </w:tc>
        <w:tc>
          <w:tcPr>
            <w:tcW w:w="5712" w:type="dxa"/>
            <w:vAlign w:val="top"/>
          </w:tcPr>
          <w:p>
            <w:pPr>
              <w:pStyle w:val="8"/>
              <w:spacing w:before="0" w:beforeLines="0" w:after="0" w:afterLines="0" w:line="360" w:lineRule="auto"/>
              <w:ind w:left="0" w:leftChars="0"/>
              <w:jc w:val="both"/>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安全完整性等级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QRA</w:t>
            </w:r>
            <w:r>
              <w:rPr>
                <w:rFonts w:hint="default" w:ascii="Times New Roman" w:hAnsi="Times New Roman" w:eastAsia="仿宋" w:cs="Times New Roman"/>
                <w:strike w:val="0"/>
                <w:color w:val="auto"/>
                <w:sz w:val="22"/>
                <w:szCs w:val="22"/>
                <w:highlight w:val="none"/>
                <w:lang w:val="en-US" w:eastAsia="zh-CN"/>
              </w:rPr>
              <w:t>(</w:t>
            </w:r>
            <w:r>
              <w:rPr>
                <w:rFonts w:hint="default" w:ascii="Times New Roman" w:hAnsi="Times New Roman" w:eastAsia="仿宋" w:cs="Times New Roman"/>
                <w:strike w:val="0"/>
                <w:color w:val="auto"/>
                <w:sz w:val="22"/>
                <w:szCs w:val="22"/>
                <w:highlight w:val="none"/>
                <w:lang w:eastAsia="zh-CN"/>
              </w:rPr>
              <w:t>Quantitative Risk Assessment</w:t>
            </w:r>
            <w:r>
              <w:rPr>
                <w:rFonts w:hint="default" w:ascii="Times New Roman" w:hAnsi="Times New Roman" w:eastAsia="仿宋" w:cs="Times New Roman"/>
                <w:strike w:val="0"/>
                <w:color w:val="auto"/>
                <w:sz w:val="22"/>
                <w:szCs w:val="22"/>
                <w:highlight w:val="none"/>
                <w:lang w:val="en-US" w:eastAsia="zh-CN"/>
              </w:rPr>
              <w:t>)</w:t>
            </w:r>
          </w:p>
        </w:tc>
        <w:tc>
          <w:tcPr>
            <w:tcW w:w="5712" w:type="dxa"/>
            <w:vAlign w:val="center"/>
          </w:tcPr>
          <w:p>
            <w:pPr>
              <w:pStyle w:val="8"/>
              <w:spacing w:before="0" w:beforeLines="0" w:after="0" w:afterLines="0" w:line="360" w:lineRule="auto"/>
              <w:ind w:left="0" w:leftChars="0" w:right="35" w:rightChars="16"/>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量化风险评估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FTA（Fault Tree Analysis）</w:t>
            </w:r>
          </w:p>
        </w:tc>
        <w:tc>
          <w:tcPr>
            <w:tcW w:w="5712" w:type="dxa"/>
            <w:vAlign w:val="top"/>
          </w:tcPr>
          <w:p>
            <w:pPr>
              <w:pStyle w:val="8"/>
              <w:spacing w:before="0" w:beforeLines="0" w:after="0" w:afterLines="0" w:line="360" w:lineRule="auto"/>
              <w:ind w:left="0"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故障树分析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ETA（Event Tree Analysis）</w:t>
            </w:r>
          </w:p>
        </w:tc>
        <w:tc>
          <w:tcPr>
            <w:tcW w:w="5712" w:type="dxa"/>
            <w:vAlign w:val="top"/>
          </w:tcPr>
          <w:p>
            <w:pPr>
              <w:pStyle w:val="8"/>
              <w:spacing w:before="0" w:beforeLines="0" w:after="0" w:afterLines="0" w:line="360" w:lineRule="auto"/>
              <w:ind w:left="0" w:leftChars="0"/>
              <w:jc w:val="both"/>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事件树分析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FRACAS（Failure Reporting And Corrective Action System）</w:t>
            </w:r>
          </w:p>
        </w:tc>
        <w:tc>
          <w:tcPr>
            <w:tcW w:w="5712" w:type="dxa"/>
            <w:vAlign w:val="center"/>
          </w:tcPr>
          <w:p>
            <w:pPr>
              <w:pStyle w:val="8"/>
              <w:spacing w:before="0" w:beforeLines="0" w:after="0" w:afterLines="0" w:line="360" w:lineRule="auto"/>
              <w:ind w:left="0"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故障报告及修正措施系统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MTTR</w:t>
            </w:r>
          </w:p>
        </w:tc>
        <w:tc>
          <w:tcPr>
            <w:tcW w:w="5712" w:type="dxa"/>
            <w:vAlign w:val="center"/>
          </w:tcPr>
          <w:p>
            <w:pPr>
              <w:pStyle w:val="8"/>
              <w:spacing w:before="0" w:beforeLines="0" w:after="0" w:afterLines="0" w:line="360" w:lineRule="auto"/>
              <w:ind w:left="0" w:leftChars="0"/>
              <w:jc w:val="both"/>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平均修复时间：是维修作业耗时平均值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MaxTTR</w:t>
            </w:r>
          </w:p>
        </w:tc>
        <w:tc>
          <w:tcPr>
            <w:tcW w:w="5712" w:type="dxa"/>
            <w:vAlign w:val="center"/>
          </w:tcPr>
          <w:p>
            <w:pPr>
              <w:pStyle w:val="8"/>
              <w:spacing w:before="0" w:beforeLines="0" w:after="0" w:afterLines="0" w:line="360" w:lineRule="auto"/>
              <w:ind w:left="0" w:leftChars="0"/>
              <w:jc w:val="both"/>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最大修复时间：是完成一项维修作业所允许的最长时间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MTBF（Mean Time Between Failure）</w:t>
            </w:r>
          </w:p>
        </w:tc>
        <w:tc>
          <w:tcPr>
            <w:tcW w:w="5712" w:type="dxa"/>
            <w:vAlign w:val="center"/>
          </w:tcPr>
          <w:p>
            <w:pPr>
              <w:pStyle w:val="8"/>
              <w:spacing w:before="0" w:beforeLines="0" w:after="0" w:afterLines="0" w:line="360" w:lineRule="auto"/>
              <w:ind w:left="0" w:leftChars="0" w:right="35" w:rightChars="16"/>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平均无故障时间：在规定的条件下，运营列车两次相邻故障的平均连续时间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pStyle w:val="8"/>
              <w:spacing w:before="0" w:beforeLines="0" w:after="0" w:afterLines="0" w:line="360" w:lineRule="auto"/>
              <w:ind w:left="0" w:leftChars="0" w:right="35" w:rightChars="16"/>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 xml:space="preserve">MDBSF（Mean </w:t>
            </w:r>
            <w:r>
              <w:rPr>
                <w:rFonts w:hint="default" w:ascii="Times New Roman" w:hAnsi="Times New Roman" w:eastAsia="仿宋" w:cs="Times New Roman"/>
                <w:strike w:val="0"/>
                <w:color w:val="auto"/>
                <w:sz w:val="22"/>
                <w:szCs w:val="22"/>
                <w:highlight w:val="none"/>
                <w:lang w:val="en-US" w:eastAsia="zh-CN"/>
              </w:rPr>
              <w:t>Distance</w:t>
            </w:r>
            <w:r>
              <w:rPr>
                <w:rFonts w:hint="default" w:ascii="Times New Roman" w:hAnsi="Times New Roman" w:eastAsia="仿宋" w:cs="Times New Roman"/>
                <w:strike w:val="0"/>
                <w:color w:val="auto"/>
                <w:sz w:val="22"/>
                <w:szCs w:val="22"/>
                <w:highlight w:val="none"/>
                <w:lang w:eastAsia="zh-CN"/>
              </w:rPr>
              <w:t xml:space="preserve"> Between </w:t>
            </w:r>
            <w:r>
              <w:rPr>
                <w:rFonts w:hint="default" w:ascii="Times New Roman" w:hAnsi="Times New Roman" w:eastAsia="仿宋" w:cs="Times New Roman"/>
                <w:strike w:val="0"/>
                <w:color w:val="auto"/>
                <w:sz w:val="22"/>
                <w:szCs w:val="22"/>
                <w:highlight w:val="none"/>
                <w:lang w:val="en-US" w:eastAsia="zh-CN"/>
              </w:rPr>
              <w:t xml:space="preserve">Service </w:t>
            </w:r>
            <w:r>
              <w:rPr>
                <w:rFonts w:hint="default" w:ascii="Times New Roman" w:hAnsi="Times New Roman" w:eastAsia="仿宋" w:cs="Times New Roman"/>
                <w:strike w:val="0"/>
                <w:color w:val="auto"/>
                <w:sz w:val="22"/>
                <w:szCs w:val="22"/>
                <w:highlight w:val="none"/>
                <w:lang w:eastAsia="zh-CN"/>
              </w:rPr>
              <w:t>Failure）</w:t>
            </w:r>
          </w:p>
        </w:tc>
        <w:tc>
          <w:tcPr>
            <w:tcW w:w="5712" w:type="dxa"/>
            <w:vAlign w:val="center"/>
          </w:tcPr>
          <w:p>
            <w:pPr>
              <w:pStyle w:val="8"/>
              <w:spacing w:before="0" w:beforeLines="0" w:after="0" w:afterLines="0" w:line="360" w:lineRule="auto"/>
              <w:ind w:left="0" w:leftChars="0" w:right="35" w:rightChars="16"/>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平均无运营故障里程：在规定的条件下，运营列车两次相邻运营故障的平均间隔里程或以一列车为单位的子系统出现两次相邻运营故障的平均间隔里程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pStyle w:val="8"/>
              <w:spacing w:before="0" w:beforeLines="0" w:after="0" w:afterLines="0" w:line="360" w:lineRule="auto"/>
              <w:ind w:left="0" w:leftChars="0"/>
              <w:jc w:val="left"/>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MDBF（Mean Distance Between Failure）</w:t>
            </w:r>
          </w:p>
        </w:tc>
        <w:tc>
          <w:tcPr>
            <w:tcW w:w="5712" w:type="dxa"/>
            <w:vAlign w:val="center"/>
          </w:tcPr>
          <w:p>
            <w:pPr>
              <w:pStyle w:val="8"/>
              <w:spacing w:before="0" w:beforeLines="0" w:after="0" w:afterLines="0" w:line="360" w:lineRule="auto"/>
              <w:ind w:left="0" w:leftChars="0" w:right="35" w:rightChars="16"/>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平均故障间隔里程：在规定的条件下，运营列车或功能单元两次相邻故障的平均间隔里程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72"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Reliability Critical Item</w:t>
            </w:r>
          </w:p>
        </w:tc>
        <w:tc>
          <w:tcPr>
            <w:tcW w:w="5712" w:type="dxa"/>
            <w:vAlign w:val="center"/>
          </w:tcPr>
          <w:p>
            <w:pPr>
              <w:pStyle w:val="8"/>
              <w:spacing w:before="0" w:beforeLines="0" w:after="0" w:afterLines="0" w:line="360" w:lineRule="auto"/>
              <w:ind w:left="72"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可靠性关键项目定义为：其故障可以导致车辆A、B类故障发生的项目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72"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Safety Critical Item</w:t>
            </w:r>
          </w:p>
        </w:tc>
        <w:tc>
          <w:tcPr>
            <w:tcW w:w="5712" w:type="dxa"/>
            <w:vAlign w:val="center"/>
          </w:tcPr>
          <w:p>
            <w:pPr>
              <w:pStyle w:val="8"/>
              <w:spacing w:before="0" w:beforeLines="0" w:after="0" w:afterLines="0" w:line="360" w:lineRule="auto"/>
              <w:rPr>
                <w:rFonts w:hint="default" w:ascii="Times New Roman" w:hAnsi="Times New Roman" w:eastAsia="仿宋" w:cs="Times New Roman"/>
                <w:strike w:val="0"/>
                <w:color w:val="auto"/>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安全性关键项目定义为一项“安全性相关的项目”（SCI），采用下列规则：</w:t>
            </w:r>
          </w:p>
          <w:p>
            <w:pPr>
              <w:pStyle w:val="8"/>
              <w:spacing w:before="0" w:beforeLines="0" w:after="0" w:afterLines="0" w:line="360" w:lineRule="auto"/>
              <w:rPr>
                <w:rFonts w:hint="default" w:ascii="Times New Roman" w:hAnsi="Times New Roman" w:eastAsia="仿宋" w:cs="Times New Roman"/>
                <w:strike w:val="0"/>
                <w:color w:val="auto"/>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该项目为一件新的设备，与安全性方面相关</w:t>
            </w:r>
          </w:p>
          <w:p>
            <w:pPr>
              <w:pStyle w:val="8"/>
              <w:spacing w:before="0" w:beforeLines="0" w:after="0" w:afterLines="0" w:line="360" w:lineRule="auto"/>
              <w:ind w:left="72" w:leftChars="0"/>
              <w:rPr>
                <w:rFonts w:hint="default" w:ascii="Times New Roman" w:hAnsi="Times New Roman" w:eastAsia="仿宋" w:cs="Times New Roman"/>
                <w:strike w:val="0"/>
                <w:color w:val="auto"/>
                <w:kern w:val="2"/>
                <w:sz w:val="22"/>
                <w:szCs w:val="22"/>
                <w:highlight w:val="none"/>
                <w:lang w:eastAsia="zh-CN"/>
              </w:rPr>
            </w:pPr>
            <w:r>
              <w:rPr>
                <w:rFonts w:hint="default" w:ascii="Times New Roman" w:hAnsi="Times New Roman" w:eastAsia="仿宋" w:cs="Times New Roman"/>
                <w:strike w:val="0"/>
                <w:color w:val="auto"/>
                <w:sz w:val="22"/>
                <w:szCs w:val="22"/>
                <w:highlight w:val="none"/>
                <w:lang w:eastAsia="zh-CN"/>
              </w:rPr>
              <w:t>根据技术规范，该项目被预先定义为与安全性相关的项目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top"/>
          </w:tcPr>
          <w:p>
            <w:pPr>
              <w:pStyle w:val="8"/>
              <w:spacing w:before="0" w:beforeLines="0" w:after="0" w:afterLines="0" w:line="360" w:lineRule="auto"/>
              <w:ind w:left="72" w:leftChars="0"/>
              <w:rPr>
                <w:rFonts w:hint="default" w:ascii="Times New Roman" w:hAnsi="Times New Roman" w:eastAsia="仿宋" w:cs="Times New Roman"/>
                <w:strike w:val="0"/>
                <w:color w:val="auto"/>
                <w:sz w:val="22"/>
                <w:szCs w:val="22"/>
                <w:highlight w:val="none"/>
                <w:lang w:val="en-US" w:eastAsia="zh-CN"/>
              </w:rPr>
            </w:pPr>
            <w:r>
              <w:rPr>
                <w:rFonts w:hint="eastAsia" w:ascii="Times New Roman" w:hAnsi="Times New Roman" w:eastAsia="仿宋" w:cs="Times New Roman"/>
                <w:strike w:val="0"/>
                <w:color w:val="auto"/>
                <w:sz w:val="22"/>
                <w:szCs w:val="22"/>
                <w:highlight w:val="none"/>
                <w:lang w:val="en-US" w:eastAsia="zh-CN"/>
              </w:rPr>
              <w:t>RCM</w:t>
            </w:r>
          </w:p>
        </w:tc>
        <w:tc>
          <w:tcPr>
            <w:tcW w:w="5712" w:type="dxa"/>
            <w:vAlign w:val="center"/>
          </w:tcPr>
          <w:p>
            <w:pPr>
              <w:pStyle w:val="8"/>
              <w:spacing w:before="0" w:beforeLines="0" w:after="0" w:afterLines="0" w:line="360" w:lineRule="auto"/>
              <w:ind w:left="72" w:leftChars="0"/>
              <w:rPr>
                <w:rFonts w:hint="default" w:ascii="Times New Roman" w:hAnsi="Times New Roman" w:eastAsia="仿宋" w:cs="Times New Roman"/>
                <w:strike w:val="0"/>
                <w:color w:val="auto"/>
                <w:sz w:val="22"/>
                <w:szCs w:val="22"/>
                <w:highlight w:val="none"/>
                <w:lang w:val="en-US" w:eastAsia="zh-CN"/>
              </w:rPr>
            </w:pPr>
            <w:r>
              <w:rPr>
                <w:rFonts w:hint="eastAsia" w:ascii="Times New Roman" w:hAnsi="Times New Roman" w:eastAsia="仿宋" w:cs="Times New Roman"/>
                <w:strike w:val="0"/>
                <w:color w:val="auto"/>
                <w:sz w:val="22"/>
                <w:szCs w:val="22"/>
                <w:highlight w:val="none"/>
                <w:lang w:val="en-US" w:eastAsia="zh-CN"/>
              </w:rPr>
              <w:t>以可靠性为中心的维护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SA</w:t>
            </w:r>
          </w:p>
        </w:tc>
        <w:tc>
          <w:tcPr>
            <w:tcW w:w="5712" w:type="dxa"/>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系统保证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SAP</w:t>
            </w:r>
          </w:p>
        </w:tc>
        <w:tc>
          <w:tcPr>
            <w:tcW w:w="5712" w:type="dxa"/>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系统保证计划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PM</w:t>
            </w:r>
          </w:p>
        </w:tc>
        <w:tc>
          <w:tcPr>
            <w:tcW w:w="5712" w:type="dxa"/>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预防性维修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CM</w:t>
            </w:r>
          </w:p>
        </w:tc>
        <w:tc>
          <w:tcPr>
            <w:tcW w:w="5712" w:type="dxa"/>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修复性维修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851" w:type="dxa"/>
            <w:vAlign w:val="center"/>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Hazard</w:t>
            </w:r>
            <w:r>
              <w:rPr>
                <w:rFonts w:hint="eastAsia" w:ascii="Times New Roman" w:hAnsi="宋体"/>
                <w:color w:val="000000"/>
                <w:szCs w:val="24"/>
                <w:lang w:eastAsia="zh-CN"/>
              </w:rPr>
              <w:t>（危害）</w:t>
            </w:r>
          </w:p>
        </w:tc>
        <w:tc>
          <w:tcPr>
            <w:tcW w:w="5712" w:type="dxa"/>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可以导致出现事故的情况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FBD</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功能框图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RBD</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可靠性框图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ALARP</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降低到合理可行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FRACAS</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缺陷报告与纠正措施系统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PHA</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初步危害分析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SHA</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系统危害分析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SSHA</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子系统危害分析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Arial"/>
                <w:color w:val="000000"/>
                <w:sz w:val="22"/>
                <w:szCs w:val="24"/>
                <w:lang w:val="en-US" w:eastAsia="zh-CN" w:bidi="ar-SA"/>
              </w:rPr>
            </w:pPr>
            <w:r>
              <w:rPr>
                <w:rFonts w:ascii="Times New Roman" w:hAnsi="Times New Roman"/>
                <w:color w:val="000000"/>
                <w:szCs w:val="24"/>
                <w:lang w:eastAsia="zh-CN"/>
              </w:rPr>
              <w:t>IHA</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接口危害分析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Arial"/>
                <w:color w:val="000000"/>
                <w:sz w:val="22"/>
                <w:szCs w:val="24"/>
                <w:lang w:val="en-US" w:eastAsia="zh-CN" w:bidi="ar-SA"/>
              </w:rPr>
            </w:pPr>
            <w:r>
              <w:rPr>
                <w:rFonts w:ascii="Times New Roman" w:hAnsi="Times New Roman"/>
                <w:color w:val="000000"/>
                <w:szCs w:val="24"/>
                <w:lang w:eastAsia="zh-CN"/>
              </w:rPr>
              <w:t>O&amp;SHA</w:t>
            </w:r>
            <w:bookmarkStart w:id="15" w:name="_GoBack"/>
            <w:bookmarkEnd w:id="15"/>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运行与支持危害分析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Arial"/>
                <w:color w:val="000000"/>
                <w:sz w:val="22"/>
                <w:szCs w:val="24"/>
                <w:lang w:val="en-US" w:eastAsia="zh-CN" w:bidi="ar-SA"/>
              </w:rPr>
            </w:pPr>
            <w:r>
              <w:rPr>
                <w:rFonts w:ascii="Times New Roman" w:hAnsi="Times New Roman"/>
                <w:color w:val="000000"/>
                <w:szCs w:val="24"/>
                <w:lang w:eastAsia="zh-CN"/>
              </w:rPr>
              <w:t>HAZOP</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危害及操作性研究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Arial"/>
                <w:color w:val="000000"/>
                <w:sz w:val="22"/>
                <w:szCs w:val="24"/>
                <w:lang w:val="en-US" w:eastAsia="zh-CN" w:bidi="ar-SA"/>
              </w:rPr>
            </w:pPr>
            <w:r>
              <w:rPr>
                <w:rFonts w:ascii="Times New Roman" w:hAnsi="Times New Roman"/>
                <w:color w:val="000000"/>
                <w:szCs w:val="24"/>
                <w:lang w:eastAsia="zh-CN"/>
              </w:rPr>
              <w:t>DSA</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安全原则及规范要求的符合性评估</w:t>
            </w:r>
            <w:r>
              <w:rPr>
                <w:rFonts w:ascii="Times New Roman" w:hAnsi="Times New Roman"/>
                <w:color w:val="000000"/>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Arial"/>
                <w:color w:val="000000"/>
                <w:sz w:val="22"/>
                <w:szCs w:val="24"/>
                <w:lang w:val="en-US" w:eastAsia="zh-CN" w:bidi="ar-SA"/>
              </w:rPr>
            </w:pPr>
            <w:r>
              <w:rPr>
                <w:rFonts w:ascii="Times New Roman" w:hAnsi="Times New Roman"/>
                <w:color w:val="000000"/>
                <w:szCs w:val="24"/>
                <w:lang w:eastAsia="zh-CN"/>
              </w:rPr>
              <w:t>MTBF</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平均故障间隔时间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Arial"/>
                <w:color w:val="000000"/>
                <w:sz w:val="22"/>
                <w:szCs w:val="24"/>
                <w:lang w:val="en-US" w:eastAsia="zh-CN" w:bidi="ar-SA"/>
              </w:rPr>
            </w:pPr>
            <w:r>
              <w:rPr>
                <w:rFonts w:ascii="Times New Roman" w:hAnsi="Times New Roman"/>
                <w:color w:val="000000"/>
                <w:szCs w:val="24"/>
                <w:lang w:eastAsia="zh-CN"/>
              </w:rPr>
              <w:t>MTTR</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平均修复时间，是维修作业耗时平均值。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Arial"/>
                <w:color w:val="000000"/>
                <w:sz w:val="22"/>
                <w:szCs w:val="24"/>
                <w:lang w:val="en-GB" w:eastAsia="zh-CN" w:bidi="ar-SA"/>
              </w:rPr>
            </w:pPr>
            <w:r>
              <w:rPr>
                <w:rFonts w:ascii="Times New Roman" w:hAnsi="Times New Roman"/>
                <w:color w:val="000000"/>
                <w:szCs w:val="24"/>
                <w:lang w:eastAsia="zh-CN"/>
              </w:rPr>
              <w:t>MaxTTR</w:t>
            </w:r>
          </w:p>
        </w:tc>
        <w:tc>
          <w:tcPr>
            <w:tcW w:w="0" w:type="auto"/>
            <w:vAlign w:val="top"/>
          </w:tcPr>
          <w:p>
            <w:pPr>
              <w:spacing w:after="0" w:line="360" w:lineRule="auto"/>
              <w:rPr>
                <w:rFonts w:hint="eastAsia" w:ascii="Times New Roman" w:hAnsi="宋体" w:eastAsia="宋体" w:cs="宋体"/>
                <w:color w:val="000000"/>
                <w:sz w:val="22"/>
                <w:szCs w:val="24"/>
                <w:lang w:val="en-US" w:eastAsia="zh-CN" w:bidi="ar-SA"/>
              </w:rPr>
            </w:pPr>
            <w:r>
              <w:rPr>
                <w:rFonts w:hint="eastAsia" w:ascii="Times New Roman" w:hAnsi="宋体" w:cs="宋体"/>
                <w:color w:val="000000"/>
                <w:szCs w:val="24"/>
                <w:lang w:val="en-US" w:eastAsia="zh-CN"/>
              </w:rPr>
              <w:t>最大修复时间：是完成一项维修作业所允许的最长时间。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Arial"/>
                <w:color w:val="000000"/>
                <w:sz w:val="22"/>
                <w:szCs w:val="24"/>
                <w:lang w:val="en-US" w:eastAsia="zh-CN" w:bidi="ar-SA"/>
              </w:rPr>
            </w:pPr>
            <w:r>
              <w:rPr>
                <w:rFonts w:ascii="Times New Roman" w:hAnsi="Times New Roman"/>
                <w:color w:val="000000"/>
                <w:szCs w:val="24"/>
                <w:lang w:eastAsia="zh-CN"/>
              </w:rPr>
              <w:t>Reliability Critical Item</w:t>
            </w:r>
            <w:r>
              <w:rPr>
                <w:rFonts w:hint="eastAsia" w:ascii="Times New Roman" w:hAnsi="宋体"/>
                <w:color w:val="000000"/>
                <w:szCs w:val="24"/>
                <w:lang w:eastAsia="zh-CN"/>
              </w:rPr>
              <w:t>（可靠性关键项目）</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可靠性关键项目被定义为其故障可以导致晚点和服务故障的重大故障。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Arial"/>
                <w:color w:val="000000"/>
                <w:sz w:val="22"/>
                <w:szCs w:val="24"/>
                <w:lang w:val="en-US" w:eastAsia="zh-CN" w:bidi="ar-SA"/>
              </w:rPr>
            </w:pPr>
            <w:r>
              <w:rPr>
                <w:rFonts w:ascii="Times New Roman" w:hAnsi="Times New Roman"/>
                <w:color w:val="000000"/>
                <w:szCs w:val="24"/>
                <w:lang w:eastAsia="zh-CN"/>
              </w:rPr>
              <w:t>Risk</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由危害而导致的事故与事件的发生率（由一项危害而引起）以及上述危害的严重程度。它可以通过以下数学方法表示：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（风险）</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风险</w:t>
            </w:r>
            <w:r>
              <w:rPr>
                <w:rFonts w:ascii="Times New Roman" w:hAnsi="Times New Roman"/>
                <w:color w:val="000000"/>
                <w:szCs w:val="24"/>
                <w:lang w:val="en-US" w:eastAsia="zh-CN"/>
              </w:rPr>
              <w:t>=</w:t>
            </w:r>
            <w:r>
              <w:rPr>
                <w:rFonts w:hint="eastAsia" w:ascii="Times New Roman" w:hAnsi="宋体" w:cs="宋体"/>
                <w:color w:val="000000"/>
                <w:szCs w:val="24"/>
                <w:lang w:val="en-US" w:eastAsia="zh-CN"/>
              </w:rPr>
              <w:t>（事故）发生率</w:t>
            </w:r>
            <w:r>
              <w:rPr>
                <w:rFonts w:ascii="Times New Roman" w:hAnsi="Times New Roman"/>
                <w:color w:val="000000"/>
                <w:szCs w:val="24"/>
                <w:lang w:val="en-US" w:eastAsia="zh-CN"/>
              </w:rPr>
              <w:t>×</w:t>
            </w:r>
            <w:r>
              <w:rPr>
                <w:rFonts w:hint="eastAsia" w:ascii="Times New Roman" w:hAnsi="宋体" w:cs="宋体"/>
                <w:color w:val="000000"/>
                <w:szCs w:val="24"/>
                <w:lang w:val="en-US" w:eastAsia="zh-CN"/>
              </w:rPr>
              <w:t>（危害）严重程度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Arial"/>
                <w:color w:val="000000"/>
                <w:sz w:val="22"/>
                <w:szCs w:val="24"/>
                <w:lang w:val="en-US" w:eastAsia="zh-CN" w:bidi="ar-SA"/>
              </w:rPr>
            </w:pPr>
            <w:r>
              <w:rPr>
                <w:rFonts w:ascii="Times New Roman" w:hAnsi="Times New Roman"/>
                <w:color w:val="000000"/>
                <w:szCs w:val="24"/>
                <w:lang w:eastAsia="zh-CN"/>
              </w:rPr>
              <w:t>Safety Critical Item</w:t>
            </w:r>
          </w:p>
        </w:tc>
        <w:tc>
          <w:tcPr>
            <w:tcW w:w="0" w:type="auto"/>
            <w:vAlign w:val="top"/>
          </w:tcPr>
          <w:p>
            <w:pPr>
              <w:spacing w:after="0" w:line="360" w:lineRule="auto"/>
              <w:rPr>
                <w:rFonts w:hint="eastAsia"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该项目被定义为一项</w:t>
            </w:r>
            <w:r>
              <w:rPr>
                <w:rFonts w:ascii="Times New Roman" w:hAnsi="Times New Roman"/>
                <w:color w:val="000000"/>
                <w:szCs w:val="24"/>
                <w:lang w:val="en-US" w:eastAsia="zh-CN"/>
              </w:rPr>
              <w:t>“</w:t>
            </w:r>
            <w:r>
              <w:rPr>
                <w:rFonts w:hint="eastAsia" w:ascii="Times New Roman" w:hAnsi="宋体" w:cs="宋体"/>
                <w:color w:val="000000"/>
                <w:szCs w:val="24"/>
                <w:lang w:val="en-US" w:eastAsia="zh-CN"/>
              </w:rPr>
              <w:t>安全性相关的项目</w:t>
            </w:r>
            <w:r>
              <w:rPr>
                <w:rFonts w:ascii="Times New Roman" w:hAnsi="Times New Roman"/>
                <w:color w:val="000000"/>
                <w:szCs w:val="24"/>
                <w:lang w:val="en-US" w:eastAsia="zh-CN"/>
              </w:rPr>
              <w:t>”</w:t>
            </w:r>
            <w:r>
              <w:rPr>
                <w:rFonts w:hint="eastAsia" w:ascii="Times New Roman" w:hAnsi="宋体" w:cs="宋体"/>
                <w:color w:val="000000"/>
                <w:szCs w:val="24"/>
                <w:lang w:val="en-US" w:eastAsia="zh-CN"/>
              </w:rPr>
              <w:t>（</w:t>
            </w:r>
            <w:r>
              <w:rPr>
                <w:rFonts w:ascii="Times New Roman" w:hAnsi="Times New Roman"/>
                <w:color w:val="000000"/>
                <w:szCs w:val="24"/>
                <w:lang w:val="en-US" w:eastAsia="zh-CN"/>
              </w:rPr>
              <w:t>SCI</w:t>
            </w:r>
            <w:r>
              <w:rPr>
                <w:rFonts w:hint="eastAsia" w:ascii="Times New Roman" w:hAnsi="宋体" w:cs="宋体"/>
                <w:color w:val="000000"/>
                <w:szCs w:val="24"/>
                <w:lang w:val="en-US" w:eastAsia="zh-CN"/>
              </w:rPr>
              <w:t>），采用下列规格：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宋体"/>
                <w:color w:val="000000"/>
                <w:sz w:val="22"/>
                <w:szCs w:val="24"/>
                <w:lang w:val="en-US" w:eastAsia="zh-CN" w:bidi="ar-SA"/>
              </w:rPr>
            </w:pPr>
            <w:r>
              <w:rPr>
                <w:rFonts w:hint="eastAsia" w:ascii="Times New Roman" w:hAnsi="宋体" w:cs="宋体"/>
                <w:color w:val="000000"/>
                <w:szCs w:val="24"/>
                <w:lang w:val="en-US" w:eastAsia="zh-CN"/>
              </w:rPr>
              <w:t>（安全性关键项目）</w:t>
            </w:r>
          </w:p>
        </w:tc>
        <w:tc>
          <w:tcPr>
            <w:tcW w:w="0" w:type="auto"/>
            <w:vAlign w:val="top"/>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 xml:space="preserve">a)      </w:t>
            </w:r>
            <w:r>
              <w:rPr>
                <w:rFonts w:hint="eastAsia" w:ascii="Times New Roman" w:hAnsi="宋体"/>
                <w:color w:val="000000"/>
                <w:szCs w:val="24"/>
                <w:lang w:eastAsia="zh-CN"/>
              </w:rPr>
              <w:t>该项目发生故障可以导致产生其后果程度为</w:t>
            </w:r>
            <w:r>
              <w:rPr>
                <w:rFonts w:ascii="Times New Roman" w:hAnsi="Times New Roman"/>
                <w:color w:val="000000"/>
                <w:szCs w:val="24"/>
                <w:lang w:eastAsia="zh-CN"/>
              </w:rPr>
              <w:t>4</w:t>
            </w:r>
            <w:r>
              <w:rPr>
                <w:rFonts w:hint="eastAsia" w:ascii="Times New Roman" w:hAnsi="宋体"/>
                <w:color w:val="000000"/>
                <w:szCs w:val="24"/>
                <w:lang w:eastAsia="zh-CN"/>
              </w:rPr>
              <w:t>或更高的一项事故（即，潜在致命后果）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宋体"/>
                <w:color w:val="000000"/>
                <w:sz w:val="22"/>
                <w:szCs w:val="24"/>
                <w:lang w:val="en-US" w:eastAsia="zh-CN" w:bidi="ar-SA"/>
              </w:rPr>
            </w:pPr>
          </w:p>
        </w:tc>
        <w:tc>
          <w:tcPr>
            <w:tcW w:w="0" w:type="auto"/>
            <w:vAlign w:val="top"/>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 xml:space="preserve">b)      </w:t>
            </w:r>
            <w:r>
              <w:rPr>
                <w:rFonts w:hint="eastAsia" w:ascii="Times New Roman" w:hAnsi="宋体"/>
                <w:color w:val="000000"/>
                <w:szCs w:val="24"/>
                <w:lang w:eastAsia="zh-CN"/>
              </w:rPr>
              <w:t>该项目为一件新的设备，它具有安全性方面的含义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0" w:type="auto"/>
            <w:vAlign w:val="center"/>
          </w:tcPr>
          <w:p>
            <w:pPr>
              <w:spacing w:after="0" w:line="360" w:lineRule="auto"/>
              <w:rPr>
                <w:rFonts w:ascii="Times New Roman" w:hAnsi="Times New Roman" w:eastAsia="宋体" w:cs="宋体"/>
                <w:color w:val="000000"/>
                <w:sz w:val="22"/>
                <w:szCs w:val="24"/>
                <w:lang w:val="en-US" w:eastAsia="zh-CN" w:bidi="ar-SA"/>
              </w:rPr>
            </w:pPr>
          </w:p>
        </w:tc>
        <w:tc>
          <w:tcPr>
            <w:tcW w:w="0" w:type="auto"/>
            <w:vAlign w:val="top"/>
          </w:tcPr>
          <w:p>
            <w:pPr>
              <w:spacing w:after="0" w:line="360" w:lineRule="auto"/>
              <w:rPr>
                <w:rFonts w:hint="eastAsia" w:ascii="Times New Roman" w:hAnsi="Times New Roman" w:eastAsia="宋体" w:cs="Arial"/>
                <w:color w:val="000000"/>
                <w:sz w:val="22"/>
                <w:szCs w:val="24"/>
                <w:lang w:val="en-US" w:eastAsia="zh-CN" w:bidi="ar-SA"/>
              </w:rPr>
            </w:pPr>
            <w:r>
              <w:rPr>
                <w:rFonts w:ascii="Times New Roman" w:hAnsi="Times New Roman"/>
                <w:color w:val="000000"/>
                <w:szCs w:val="24"/>
                <w:lang w:eastAsia="zh-CN"/>
              </w:rPr>
              <w:t xml:space="preserve">c)      </w:t>
            </w:r>
            <w:r>
              <w:rPr>
                <w:rFonts w:hint="eastAsia" w:ascii="Times New Roman" w:hAnsi="宋体"/>
                <w:color w:val="000000"/>
                <w:szCs w:val="24"/>
                <w:lang w:eastAsia="zh-CN"/>
              </w:rPr>
              <w:t>根据技术规范，该项目被预先定义为与安全性相关的项目</w:t>
            </w:r>
          </w:p>
        </w:tc>
      </w:tr>
    </w:tbl>
    <w:p/>
    <w:sectPr>
      <w:pgSz w:w="11906" w:h="16838"/>
      <w:pgMar w:top="1417" w:right="1417" w:bottom="56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F0388"/>
    <w:rsid w:val="3C965846"/>
    <w:rsid w:val="7B4C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jc w:val="both"/>
    </w:pPr>
    <w:rPr>
      <w:rFonts w:ascii="Arial" w:hAnsi="Arial" w:eastAsia="宋体" w:cs="Arial"/>
      <w:sz w:val="22"/>
      <w:szCs w:val="22"/>
      <w:lang w:val="en-GB" w:eastAsia="en-US" w:bidi="ar-SA"/>
    </w:rPr>
  </w:style>
  <w:style w:type="paragraph" w:styleId="2">
    <w:name w:val="heading 1"/>
    <w:basedOn w:val="3"/>
    <w:next w:val="3"/>
    <w:qFormat/>
    <w:uiPriority w:val="0"/>
    <w:pPr>
      <w:keepNext/>
      <w:keepLines/>
      <w:spacing w:before="0" w:line="360" w:lineRule="auto"/>
      <w:outlineLvl w:val="0"/>
    </w:pPr>
    <w:rPr>
      <w:kern w:val="44"/>
      <w:sz w:val="28"/>
      <w:szCs w:val="28"/>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列出段落21"/>
    <w:basedOn w:val="1"/>
    <w:qFormat/>
    <w:uiPriority w:val="34"/>
    <w:pPr>
      <w:widowControl w:val="0"/>
      <w:spacing w:before="0" w:line="360" w:lineRule="auto"/>
      <w:ind w:left="720"/>
      <w:jc w:val="left"/>
    </w:pPr>
    <w:rPr>
      <w:rFonts w:ascii="Calibri" w:hAnsi="Times New Roman" w:cs="Calibri"/>
      <w:color w:val="000000"/>
      <w:sz w:val="21"/>
      <w:szCs w:val="21"/>
      <w:lang w:val="en-US"/>
    </w:rPr>
  </w:style>
  <w:style w:type="paragraph" w:customStyle="1" w:styleId="7">
    <w:name w:val="List Paragraph1"/>
    <w:basedOn w:val="1"/>
    <w:qFormat/>
    <w:uiPriority w:val="0"/>
    <w:pPr>
      <w:widowControl w:val="0"/>
      <w:spacing w:before="0"/>
      <w:ind w:firstLine="420" w:firstLineChars="200"/>
    </w:pPr>
    <w:rPr>
      <w:rFonts w:ascii="微软雅黑" w:hAnsi="Calibri" w:eastAsia="微软雅黑" w:cs="微软雅黑"/>
      <w:kern w:val="2"/>
      <w:sz w:val="21"/>
      <w:szCs w:val="21"/>
      <w:lang w:val="en-US" w:eastAsia="zh-CN"/>
    </w:rPr>
  </w:style>
  <w:style w:type="paragraph" w:customStyle="1" w:styleId="8">
    <w:name w:val="Style 新細明體 Left:  0.13 cm After:  3 pt"/>
    <w:basedOn w:val="1"/>
    <w:qFormat/>
    <w:uiPriority w:val="0"/>
    <w:pPr>
      <w:spacing w:after="60"/>
      <w:ind w:left="72"/>
      <w:jc w:val="left"/>
    </w:pPr>
    <w:rPr>
      <w:rFonts w:ascii="PMingLiU" w:hAnsi="PMingLiU" w:eastAsia="PMingLiU" w:cs="PMingLiU"/>
      <w:sz w:val="24"/>
      <w:szCs w:val="20"/>
      <w:lang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2022-02-11T05:45:00Z</dcterms:created>
  <dc:creator>Administrator</dc:creator>
  <cp:lastModifiedBy>冯志明</cp:lastModifiedBy>
  <dcterms:modified xsi:type="dcterms:W3CDTF">2022-02-15T05:51:27Z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413DE2F305B643409309088D189E1DA0</vt:lpwstr>
  </property>
</Properties>
</file>